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7DD" w:rsidRDefault="006C77DD" w:rsidP="006C77DD">
      <w:pPr>
        <w:pStyle w:val="berschrift1"/>
      </w:pPr>
      <w:r>
        <w:t>Grenzwerte präzisiert</w:t>
      </w:r>
    </w:p>
    <w:p w:rsidR="006C77DD" w:rsidRDefault="006C77DD" w:rsidP="006C77DD"/>
    <w:p w:rsidR="006C77DD" w:rsidRDefault="006C77DD" w:rsidP="006C77DD"/>
    <w:p w:rsidR="006C77DD" w:rsidRDefault="006C77DD" w:rsidP="006C77DD">
      <w:r>
        <w:t>Mit Grenzwerten wird beschrieben, wie sich Funktionen in der Nähe einzelner Stellen verhalten – beispielsweise ob sich die Funktionswerte einem bestimmten Wert immer mehr annähern oder nicht. Die etwas vagen Formulierungen „verhalten“ und „annähern“ werden mit der folgenden Definition präzisiert.</w:t>
      </w:r>
    </w:p>
    <w:p w:rsidR="006C77DD" w:rsidRDefault="006C77DD" w:rsidP="006C77DD"/>
    <w:p w:rsidR="006C77DD" w:rsidRPr="000342F8" w:rsidRDefault="006C77DD" w:rsidP="006C77DD">
      <w:pPr>
        <w:pStyle w:val="berschrift2"/>
      </w:pPr>
      <w:r>
        <w:t>Definition</w:t>
      </w:r>
    </w:p>
    <w:p w:rsidR="006C77DD" w:rsidRDefault="006C77DD" w:rsidP="006C77DD">
      <w:r>
        <w:t xml:space="preserve">Eine Funktion </w:t>
      </w:r>
      <m:oMath>
        <m:r>
          <w:rPr>
            <w:rFonts w:ascii="Cambria Math" w:hAnsi="Cambria Math"/>
          </w:rPr>
          <m:t>f:D⟶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mit </w:t>
      </w:r>
      <m:oMath>
        <m:r>
          <w:rPr>
            <w:rFonts w:ascii="Cambria Math" w:hAnsi="Cambria Math"/>
          </w:rPr>
          <m:t>D</m:t>
        </m:r>
        <m:r>
          <m:rPr>
            <m:scr m:val="double-struck"/>
          </m:rPr>
          <w:rPr>
            <w:rFonts w:ascii="Cambria Math" w:hAnsi="Cambria Math"/>
          </w:rPr>
          <m:t>⊂R</m:t>
        </m:r>
      </m:oMath>
      <w:r>
        <w:t xml:space="preserve"> sei im Bereich unmittelbar links und/oder rechts von einer Stelle </w:t>
      </w:r>
      <m:oMath>
        <m:r>
          <w:rPr>
            <w:rFonts w:ascii="Cambria Math" w:hAnsi="Cambria Math"/>
          </w:rPr>
          <m:t>a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definiert. Diese Stelle kann also zum Definitionsbereich gehören, muss es aber nicht.</w:t>
      </w:r>
    </w:p>
    <w:p w:rsidR="006C77DD" w:rsidRDefault="006C77DD" w:rsidP="006C77DD"/>
    <w:p w:rsidR="006C77DD" w:rsidRDefault="006C77DD" w:rsidP="006C77DD">
      <w:r>
        <w:t xml:space="preserve">Die Funktion </w:t>
      </w:r>
      <w:r w:rsidRPr="0030247B">
        <w:rPr>
          <w:i/>
        </w:rPr>
        <w:t>konvergiert</w:t>
      </w:r>
      <w:r>
        <w:t xml:space="preserve"> für </w:t>
      </w:r>
      <m:oMath>
        <m:r>
          <w:rPr>
            <w:rFonts w:ascii="Cambria Math" w:hAnsi="Cambria Math"/>
          </w:rPr>
          <m:t>x⟶a</m:t>
        </m:r>
      </m:oMath>
      <w:r>
        <w:t xml:space="preserve"> gegen den Wert </w:t>
      </w:r>
      <m:oMath>
        <m:r>
          <w:rPr>
            <w:rFonts w:ascii="Cambria Math" w:hAnsi="Cambria Math"/>
          </w:rPr>
          <m:t>c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, falls Folgendes erfüllt ist:  </w:t>
      </w:r>
    </w:p>
    <w:p w:rsidR="00355690" w:rsidRDefault="00355690" w:rsidP="006C77DD"/>
    <w:p w:rsidR="006C77DD" w:rsidRDefault="006C77DD" w:rsidP="006C77DD">
      <w:pPr>
        <w:ind w:left="540" w:right="638"/>
      </w:pPr>
      <w:r>
        <w:t xml:space="preserve">Zu jeder Zahl </w:t>
      </w:r>
      <m:oMath>
        <m:r>
          <w:rPr>
            <w:rFonts w:ascii="Cambria Math" w:hAnsi="Cambria Math"/>
          </w:rPr>
          <m:t>ε&gt;0</m:t>
        </m:r>
      </m:oMath>
      <w:r>
        <w:t xml:space="preserve"> gibt es eine Zahl </w:t>
      </w:r>
      <m:oMath>
        <m:r>
          <w:rPr>
            <w:rFonts w:ascii="Cambria Math" w:hAnsi="Cambria Math"/>
          </w:rPr>
          <m:t>δ&gt;0</m:t>
        </m:r>
      </m:oMath>
      <w:r>
        <w:t xml:space="preserve">, so dass gilt: Für alle </w:t>
      </w:r>
      <m:oMath>
        <m:r>
          <w:rPr>
            <w:rFonts w:ascii="Cambria Math" w:hAnsi="Cambria Math"/>
          </w:rPr>
          <m:t>x∈D</m:t>
        </m:r>
      </m:oMath>
      <w:r>
        <w:t xml:space="preserve"> mit </w:t>
      </w:r>
      <m:oMath>
        <m:r>
          <w:rPr>
            <w:rFonts w:ascii="Cambria Math" w:hAnsi="Cambria Math"/>
          </w:rPr>
          <m:t>0&lt;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x-a</m:t>
            </m:r>
          </m:e>
        </m:d>
        <m:r>
          <w:rPr>
            <w:rFonts w:ascii="Cambria Math" w:hAnsi="Cambria Math"/>
          </w:rPr>
          <m:t>&lt;δ</m:t>
        </m:r>
      </m:oMath>
      <w:r>
        <w:t xml:space="preserve"> ist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-c</m:t>
            </m:r>
          </m:e>
        </m:d>
        <m:r>
          <w:rPr>
            <w:rFonts w:ascii="Cambria Math" w:hAnsi="Cambria Math"/>
          </w:rPr>
          <m:t>&lt;ε</m:t>
        </m:r>
      </m:oMath>
      <w:r>
        <w:t>.</w:t>
      </w:r>
    </w:p>
    <w:p w:rsidR="006C77DD" w:rsidRDefault="006C77DD" w:rsidP="006C77DD"/>
    <w:p w:rsidR="006C77DD" w:rsidRDefault="006C77DD" w:rsidP="006C77DD">
      <w:r>
        <w:t xml:space="preserve">In diesem Fall nennt man </w:t>
      </w:r>
      <w:r w:rsidRPr="001610DD">
        <w:rPr>
          <w:i/>
        </w:rPr>
        <w:t>c</w:t>
      </w:r>
      <w:r>
        <w:t xml:space="preserve"> den </w:t>
      </w:r>
      <w:r w:rsidRPr="009C0313">
        <w:rPr>
          <w:i/>
        </w:rPr>
        <w:t>Grenzwert</w:t>
      </w:r>
      <w:r>
        <w:t xml:space="preserve"> von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für </w:t>
      </w:r>
      <m:oMath>
        <m:r>
          <w:rPr>
            <w:rFonts w:ascii="Cambria Math" w:hAnsi="Cambria Math"/>
          </w:rPr>
          <m:t>x⟶a</m:t>
        </m:r>
      </m:oMath>
      <w:r>
        <w:t xml:space="preserve"> und bezeichnet diesen mit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</m:oMath>
      <w:r>
        <w:t>.</w:t>
      </w:r>
    </w:p>
    <w:p w:rsidR="006C77DD" w:rsidRDefault="006C77DD" w:rsidP="008D4709"/>
    <w:p w:rsidR="00E430BA" w:rsidRDefault="00E430BA" w:rsidP="006C77DD"/>
    <w:p w:rsidR="006C77DD" w:rsidRDefault="006C77DD" w:rsidP="006C77DD">
      <w:pPr>
        <w:pStyle w:val="berschrift2"/>
      </w:pPr>
      <w:r>
        <w:t>Interpretation</w:t>
      </w:r>
    </w:p>
    <w:p w:rsidR="006C77DD" w:rsidRDefault="006C77DD" w:rsidP="006C77DD">
      <w:r>
        <w:t>Interpretieren Sie die Definition des Grenzwerts anhand folgender Abbildung:</w:t>
      </w:r>
    </w:p>
    <w:p w:rsidR="000C59CF" w:rsidRDefault="000C59CF" w:rsidP="006C77DD"/>
    <w:p w:rsidR="006C77DD" w:rsidRDefault="00E430BA" w:rsidP="008D4709">
      <w:pPr>
        <w:jc w:val="center"/>
      </w:pPr>
      <w:r>
        <w:rPr>
          <w:noProof/>
          <w:lang w:eastAsia="de-DE"/>
        </w:rPr>
        <w:drawing>
          <wp:inline distT="0" distB="0" distL="0" distR="0">
            <wp:extent cx="4536322" cy="1911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p_3-19.png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28" b="36518"/>
                    <a:stretch/>
                  </pic:blipFill>
                  <pic:spPr bwMode="auto">
                    <a:xfrm>
                      <a:off x="0" y="0"/>
                      <a:ext cx="4536957" cy="191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7DD" w:rsidRDefault="006C77DD" w:rsidP="006C77DD"/>
    <w:p w:rsidR="006C77DD" w:rsidRDefault="006C77DD" w:rsidP="006C77DD"/>
    <w:p w:rsidR="006C77DD" w:rsidRDefault="006C77DD" w:rsidP="006C77DD">
      <w:pPr>
        <w:pStyle w:val="berschrift2"/>
      </w:pPr>
      <w:r>
        <w:t>Beispiele</w:t>
      </w:r>
    </w:p>
    <w:p w:rsidR="006C77DD" w:rsidRDefault="006C77DD" w:rsidP="006C77DD">
      <w:r>
        <w:t>Begründen Sie anhand der Definition, ob die folgenden Funktionen an den angegebenen Stellen konvergieren und bestimmen Sie ggf. den Grenzwert.</w:t>
      </w:r>
    </w:p>
    <w:p w:rsidR="006C77DD" w:rsidRDefault="006C77DD" w:rsidP="006C77DD"/>
    <w:p w:rsidR="006C77DD" w:rsidRDefault="006C77DD" w:rsidP="007D3ACA">
      <w:pPr>
        <w:pStyle w:val="Listenabsatz"/>
        <w:numPr>
          <w:ilvl w:val="0"/>
          <w:numId w:val="2"/>
        </w:numPr>
        <w:spacing w:after="120"/>
        <w:ind w:left="539" w:hanging="539"/>
        <w:contextualSpacing w:val="0"/>
      </w:pPr>
      <w:r>
        <w:t xml:space="preserve">Die konstante Funktion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=2, x</m:t>
        </m:r>
        <m:r>
          <m:rPr>
            <m:scr m:val="double-struck"/>
          </m:rPr>
          <w:rPr>
            <w:rFonts w:ascii="Cambria Math" w:hAnsi="Cambria Math"/>
          </w:rPr>
          <m:t>∈R,</m:t>
        </m:r>
      </m:oMath>
      <w:r>
        <w:t xml:space="preserve"> an jeder Stelle </w:t>
      </w:r>
      <m:oMath>
        <m:r>
          <w:rPr>
            <w:rFonts w:ascii="Cambria Math" w:hAnsi="Cambria Math"/>
          </w:rPr>
          <m:t>a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>.</w:t>
      </w:r>
    </w:p>
    <w:p w:rsidR="006C77DD" w:rsidRDefault="006C77DD" w:rsidP="007D3ACA">
      <w:pPr>
        <w:pStyle w:val="Listenabsatz"/>
        <w:numPr>
          <w:ilvl w:val="0"/>
          <w:numId w:val="2"/>
        </w:numPr>
        <w:spacing w:after="120"/>
        <w:ind w:left="539" w:hanging="539"/>
        <w:contextualSpacing w:val="0"/>
      </w:pPr>
      <w:r>
        <w:t xml:space="preserve">Die Funktion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-4, x</m:t>
        </m:r>
        <m:r>
          <m:rPr>
            <m:scr m:val="double-struck"/>
          </m:rPr>
          <w:rPr>
            <w:rFonts w:ascii="Cambria Math" w:hAnsi="Cambria Math"/>
          </w:rPr>
          <m:t>∈R,</m:t>
        </m:r>
      </m:oMath>
      <w:r>
        <w:t xml:space="preserve"> an jeder Stelle </w:t>
      </w:r>
      <m:oMath>
        <m:r>
          <w:rPr>
            <w:rFonts w:ascii="Cambria Math" w:hAnsi="Cambria Math"/>
          </w:rPr>
          <m:t>a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>.</w:t>
      </w:r>
    </w:p>
    <w:p w:rsidR="006C77DD" w:rsidRDefault="006C77DD" w:rsidP="007D3ACA">
      <w:pPr>
        <w:pStyle w:val="Listenabsatz"/>
        <w:numPr>
          <w:ilvl w:val="0"/>
          <w:numId w:val="2"/>
        </w:numPr>
        <w:spacing w:after="120"/>
        <w:ind w:left="539" w:hanging="539"/>
        <w:contextualSpacing w:val="0"/>
      </w:pPr>
      <w:r>
        <w:t xml:space="preserve">Die Funktion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>, x</m:t>
        </m:r>
        <m:r>
          <m:rPr>
            <m:scr m:val="double-struck"/>
          </m:rPr>
          <w:rPr>
            <w:rFonts w:ascii="Cambria Math" w:hAnsi="Cambria Math"/>
          </w:rPr>
          <m:t>∈R\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,</m:t>
        </m:r>
      </m:oMath>
      <w:r>
        <w:t xml:space="preserve"> an der Stelle 2.</w:t>
      </w:r>
    </w:p>
    <w:p w:rsidR="006C77DD" w:rsidRDefault="006C77DD" w:rsidP="007D3ACA">
      <w:pPr>
        <w:pStyle w:val="Listenabsatz"/>
        <w:numPr>
          <w:ilvl w:val="0"/>
          <w:numId w:val="2"/>
        </w:numPr>
        <w:spacing w:after="120"/>
        <w:ind w:left="539" w:hanging="539"/>
        <w:contextualSpacing w:val="0"/>
      </w:pPr>
      <w:r>
        <w:t xml:space="preserve">Die Funktion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>, x</m:t>
        </m:r>
        <m:r>
          <m:rPr>
            <m:scr m:val="double-struck"/>
          </m:rPr>
          <w:rPr>
            <w:rFonts w:ascii="Cambria Math" w:hAnsi="Cambria Math"/>
          </w:rPr>
          <m:t>∈R\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,</m:t>
        </m:r>
      </m:oMath>
      <w:r>
        <w:t xml:space="preserve"> an der Stelle 2.</w:t>
      </w:r>
    </w:p>
    <w:p w:rsidR="006C77DD" w:rsidRDefault="006C77DD" w:rsidP="007D3ACA">
      <w:pPr>
        <w:pStyle w:val="Listenabsatz"/>
        <w:numPr>
          <w:ilvl w:val="0"/>
          <w:numId w:val="2"/>
        </w:numPr>
        <w:spacing w:after="120"/>
        <w:ind w:left="539" w:hanging="539"/>
        <w:contextualSpacing w:val="0"/>
      </w:pPr>
      <w:r>
        <w:t xml:space="preserve">Die Funktion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, x</m:t>
        </m:r>
        <m:r>
          <m:rPr>
            <m:scr m:val="double-struck"/>
          </m:rPr>
          <w:rPr>
            <w:rFonts w:ascii="Cambria Math" w:hAnsi="Cambria Math"/>
          </w:rPr>
          <m:t>∈R\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,</m:t>
        </m:r>
      </m:oMath>
      <w:r>
        <w:t xml:space="preserve"> an der Stelle 0.</w:t>
      </w:r>
    </w:p>
    <w:p w:rsidR="006C77DD" w:rsidRDefault="006C77DD" w:rsidP="007D3ACA">
      <w:pPr>
        <w:pStyle w:val="Listenabsatz"/>
        <w:numPr>
          <w:ilvl w:val="0"/>
          <w:numId w:val="2"/>
        </w:numPr>
        <w:spacing w:after="120"/>
        <w:ind w:left="539" w:hanging="539"/>
        <w:contextualSpacing w:val="0"/>
      </w:pPr>
      <w:r>
        <w:t xml:space="preserve">Die Funktion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, x</m:t>
        </m:r>
        <m:r>
          <m:rPr>
            <m:scr m:val="double-struck"/>
          </m:rPr>
          <w:rPr>
            <w:rFonts w:ascii="Cambria Math" w:hAnsi="Cambria Math"/>
          </w:rPr>
          <m:t>∈R\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,</m:t>
        </m:r>
      </m:oMath>
      <w:r>
        <w:t xml:space="preserve"> an der Stelle 0.</w:t>
      </w:r>
    </w:p>
    <w:p w:rsidR="00E430BA" w:rsidRPr="00355690" w:rsidRDefault="006C77DD" w:rsidP="00355690">
      <w:pPr>
        <w:pStyle w:val="Listenabsatz"/>
        <w:numPr>
          <w:ilvl w:val="0"/>
          <w:numId w:val="2"/>
        </w:numPr>
        <w:spacing w:after="120"/>
        <w:ind w:left="539" w:hanging="539"/>
        <w:contextualSpacing w:val="0"/>
      </w:pPr>
      <w:r>
        <w:t>D</w:t>
      </w:r>
      <w:bookmarkStart w:id="0" w:name="_GoBack"/>
      <w:bookmarkEnd w:id="0"/>
      <w:r>
        <w:t xml:space="preserve">ie Funktion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, x</m:t>
        </m:r>
        <m:r>
          <m:rPr>
            <m:scr m:val="double-struck"/>
          </m:rPr>
          <w:rPr>
            <w:rFonts w:ascii="Cambria Math" w:hAnsi="Cambria Math"/>
          </w:rPr>
          <m:t>∈R\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,</m:t>
        </m:r>
      </m:oMath>
      <w:r>
        <w:t xml:space="preserve"> an der Stelle 0.</w:t>
      </w:r>
      <w:r w:rsidR="00E430BA">
        <w:br w:type="page"/>
      </w:r>
    </w:p>
    <w:p w:rsidR="006C77DD" w:rsidRDefault="006C77DD" w:rsidP="006C77DD">
      <w:pPr>
        <w:pStyle w:val="berschrift2"/>
      </w:pPr>
      <w:r>
        <w:lastRenderedPageBreak/>
        <w:t>Grenzwertsätze</w:t>
      </w:r>
    </w:p>
    <w:p w:rsidR="006C77DD" w:rsidRDefault="006C77DD" w:rsidP="006C77DD">
      <w:r>
        <w:t xml:space="preserve">Es seien </w:t>
      </w:r>
      <w:r w:rsidRPr="00F62445">
        <w:rPr>
          <w:i/>
        </w:rPr>
        <w:t>f</w:t>
      </w:r>
      <w:r>
        <w:t xml:space="preserve"> und </w:t>
      </w:r>
      <w:r w:rsidRPr="00F62445">
        <w:rPr>
          <w:i/>
        </w:rPr>
        <w:t>g</w:t>
      </w:r>
      <w:r>
        <w:t xml:space="preserve"> Funktionen, die an einer Stelle </w:t>
      </w:r>
      <m:oMath>
        <m:r>
          <w:rPr>
            <w:rFonts w:ascii="Cambria Math" w:hAnsi="Cambria Math"/>
          </w:rPr>
          <m:t>a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konvergieren. Begründen Sie, dass dann auch die Summen-, Differenz-, Produkt- und Quotientenfunktion an dieser Stelle konvergiert und dass gilt:</w:t>
      </w:r>
    </w:p>
    <w:p w:rsidR="006C77DD" w:rsidRDefault="006C77DD" w:rsidP="006C77DD"/>
    <w:p w:rsidR="006C77DD" w:rsidRDefault="00312209" w:rsidP="00355690">
      <w:pPr>
        <w:spacing w:after="240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+g(x)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g(x)</m:t>
            </m:r>
          </m:e>
        </m:func>
      </m:oMath>
      <w:r w:rsidR="006C77DD">
        <w:t xml:space="preserve"> </w:t>
      </w:r>
    </w:p>
    <w:p w:rsidR="006C77DD" w:rsidRDefault="00312209" w:rsidP="00355690">
      <w:pPr>
        <w:spacing w:after="240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-g(x)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g(x)</m:t>
            </m:r>
          </m:e>
        </m:func>
      </m:oMath>
      <w:r w:rsidR="006C77DD">
        <w:t xml:space="preserve"> </w:t>
      </w:r>
    </w:p>
    <w:p w:rsidR="006C77DD" w:rsidRDefault="00312209" w:rsidP="00355690">
      <w:pPr>
        <w:spacing w:after="240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∙g(x)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g(x)</m:t>
            </m:r>
          </m:e>
        </m:func>
      </m:oMath>
      <w:r w:rsidR="006C77DD">
        <w:t xml:space="preserve"> </w:t>
      </w:r>
    </w:p>
    <w:p w:rsidR="006C77DD" w:rsidRDefault="00312209" w:rsidP="006C77DD">
      <w:pPr>
        <w:ind w:left="4140" w:hanging="4140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:g(x)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>: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g(x)</m:t>
            </m:r>
          </m:e>
        </m:func>
      </m:oMath>
      <w:r w:rsidR="006C77DD">
        <w:t xml:space="preserve">, </w:t>
      </w:r>
      <w:r w:rsidR="006C77DD">
        <w:tab/>
        <w:t xml:space="preserve">falls </w:t>
      </w:r>
      <m:oMath>
        <m:r>
          <w:rPr>
            <w:rFonts w:ascii="Cambria Math" w:hAnsi="Cambria Math"/>
          </w:rPr>
          <m:t>g</m:t>
        </m:r>
      </m:oMath>
      <w:r w:rsidR="006C77DD">
        <w:t xml:space="preserve"> in einer Umgebung von </w:t>
      </w:r>
      <m:oMath>
        <m:r>
          <w:rPr>
            <w:rFonts w:ascii="Cambria Math" w:hAnsi="Cambria Math"/>
          </w:rPr>
          <m:t>a</m:t>
        </m:r>
      </m:oMath>
      <w:r w:rsidR="006C77DD">
        <w:t xml:space="preserve"> nirgends Null ist und auch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/>
              </w:rPr>
              <m:t>g(x)</m:t>
            </m:r>
          </m:e>
        </m:func>
      </m:oMath>
      <w:r w:rsidR="006C77DD">
        <w:t xml:space="preserve"> nicht Null ist.</w:t>
      </w:r>
    </w:p>
    <w:p w:rsidR="006C77DD" w:rsidRDefault="006C77DD" w:rsidP="006C77DD"/>
    <w:p w:rsidR="006C77DD" w:rsidRPr="0022219D" w:rsidRDefault="006C77DD" w:rsidP="006C77DD">
      <w:r>
        <w:t>Wenden Sie die Grenzwertsätze auf selbst gewählte Beispiele an.</w:t>
      </w:r>
    </w:p>
    <w:p w:rsidR="00F05664" w:rsidRPr="00191C44" w:rsidRDefault="00F05664" w:rsidP="006C77DD"/>
    <w:sectPr w:rsidR="00F05664" w:rsidRPr="00191C44" w:rsidSect="00214B3B">
      <w:footerReference w:type="default" r:id="rId8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209" w:rsidRDefault="00312209" w:rsidP="00E76DA2">
      <w:r>
        <w:separator/>
      </w:r>
    </w:p>
  </w:endnote>
  <w:endnote w:type="continuationSeparator" w:id="0">
    <w:p w:rsidR="00312209" w:rsidRDefault="00312209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4362F8E-5993-41FB-80B6-019CADF9ECD0}"/>
    <w:embedBold r:id="rId2" w:fontKey="{4041D13D-5D63-4EE5-B81A-1C9402A689A6}"/>
    <w:embedItalic r:id="rId3" w:fontKey="{1BC2EF6A-EAB2-417C-A302-BE433C9371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subsetted="1" w:fontKey="{99A36980-151E-4799-97F9-C1935265B91B}"/>
    <w:embedItalic r:id="rId5" w:subsetted="1" w:fontKey="{A0577524-30C0-4796-A95C-217EEE6FA4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209" w:rsidRDefault="00312209" w:rsidP="00E76DA2">
      <w:r>
        <w:separator/>
      </w:r>
    </w:p>
  </w:footnote>
  <w:footnote w:type="continuationSeparator" w:id="0">
    <w:p w:rsidR="00312209" w:rsidRDefault="00312209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2BFD"/>
    <w:multiLevelType w:val="hybridMultilevel"/>
    <w:tmpl w:val="3A90FD6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A1DC5"/>
    <w:multiLevelType w:val="hybridMultilevel"/>
    <w:tmpl w:val="6576BE3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C59CF"/>
    <w:rsid w:val="0014476F"/>
    <w:rsid w:val="00191C44"/>
    <w:rsid w:val="00214B3B"/>
    <w:rsid w:val="00225FFE"/>
    <w:rsid w:val="00312209"/>
    <w:rsid w:val="00355690"/>
    <w:rsid w:val="006C77DD"/>
    <w:rsid w:val="006F5B45"/>
    <w:rsid w:val="007370C1"/>
    <w:rsid w:val="007D3ACA"/>
    <w:rsid w:val="008D44F9"/>
    <w:rsid w:val="008D4709"/>
    <w:rsid w:val="009D5AA9"/>
    <w:rsid w:val="00BE611A"/>
    <w:rsid w:val="00DB0492"/>
    <w:rsid w:val="00E34034"/>
    <w:rsid w:val="00E430BA"/>
    <w:rsid w:val="00E76DA2"/>
    <w:rsid w:val="00F05664"/>
    <w:rsid w:val="00F2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1E599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476F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4476F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6C77DD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6C77DD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6C77DD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FigLegend">
    <w:name w:val="SpFigLegend"/>
    <w:basedOn w:val="Standard"/>
    <w:next w:val="SpStandard"/>
    <w:rsid w:val="006C77DD"/>
    <w:pPr>
      <w:widowControl w:val="0"/>
      <w:pBdr>
        <w:left w:val="single" w:sz="8" w:space="4" w:color="FF0000"/>
        <w:right w:val="single" w:sz="8" w:space="4" w:color="FF0000"/>
      </w:pBdr>
      <w:spacing w:before="120"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FigureStart">
    <w:name w:val="SpFigureStart"/>
    <w:basedOn w:val="Standard"/>
    <w:next w:val="SpStandard"/>
    <w:rsid w:val="006C77DD"/>
    <w:pPr>
      <w:widowControl w:val="0"/>
      <w:pBdr>
        <w:top w:val="single" w:sz="4" w:space="2" w:color="FF0000"/>
        <w:left w:val="single" w:sz="4" w:space="4" w:color="FF0000"/>
        <w:right w:val="single" w:sz="4" w:space="4" w:color="FF0000"/>
      </w:pBdr>
      <w:spacing w:before="12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ureStop">
    <w:name w:val="SpFigureStop"/>
    <w:basedOn w:val="Standard"/>
    <w:next w:val="SpStandard"/>
    <w:rsid w:val="006C77DD"/>
    <w:pPr>
      <w:widowControl w:val="0"/>
      <w:pBdr>
        <w:left w:val="single" w:sz="4" w:space="4" w:color="FF0000"/>
        <w:bottom w:val="single" w:sz="4" w:space="1" w:color="FF0000"/>
        <w:right w:val="single" w:sz="4" w:space="4" w:color="FF0000"/>
      </w:pBdr>
      <w:spacing w:before="120" w:after="24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Filename">
    <w:name w:val="SpFigFilename"/>
    <w:basedOn w:val="Standard"/>
    <w:next w:val="SpStandard"/>
    <w:link w:val="SpFigFilenameZchn"/>
    <w:rsid w:val="006C77DD"/>
    <w:pPr>
      <w:widowControl w:val="0"/>
      <w:pBdr>
        <w:left w:val="single" w:sz="8" w:space="4" w:color="FF0000"/>
        <w:right w:val="single" w:sz="8" w:space="4" w:color="FF0000"/>
      </w:pBdr>
      <w:shd w:val="clear" w:color="auto" w:fill="E6E6E6"/>
      <w:spacing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val="en-GB" w:eastAsia="de-DE"/>
    </w:rPr>
  </w:style>
  <w:style w:type="character" w:customStyle="1" w:styleId="SpFigFilenameZchn">
    <w:name w:val="SpFigFilename Zchn"/>
    <w:basedOn w:val="Absatz-Standardschriftart"/>
    <w:link w:val="SpFigFilename"/>
    <w:rsid w:val="006C77DD"/>
    <w:rPr>
      <w:rFonts w:ascii="Arial Unicode MS" w:eastAsia="Arial Unicode MS" w:hAnsi="Arial Unicode MS" w:cs="Times New Roman"/>
      <w:sz w:val="20"/>
      <w:szCs w:val="20"/>
      <w:shd w:val="clear" w:color="auto" w:fill="E6E6E6"/>
      <w:lang w:val="en-GB" w:eastAsia="de-DE"/>
    </w:rPr>
  </w:style>
  <w:style w:type="paragraph" w:customStyle="1" w:styleId="SpSpecialHead2">
    <w:name w:val="SpSpecialHead2"/>
    <w:basedOn w:val="Standard"/>
    <w:next w:val="SpStandard"/>
    <w:rsid w:val="006C77DD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customStyle="1" w:styleId="SpFigMeta">
    <w:name w:val="SpFigMeta"/>
    <w:basedOn w:val="SpFigFilename"/>
    <w:rsid w:val="006C77DD"/>
    <w:pPr>
      <w:shd w:val="clear" w:color="auto" w:fill="F2F2F2" w:themeFill="background1" w:themeFillShade="F2"/>
    </w:pPr>
    <w:rPr>
      <w:lang w:val="de-DE"/>
    </w:rPr>
  </w:style>
  <w:style w:type="paragraph" w:styleId="Listenabsatz">
    <w:name w:val="List Paragraph"/>
    <w:basedOn w:val="Standard"/>
    <w:uiPriority w:val="34"/>
    <w:qFormat/>
    <w:rsid w:val="006C77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6</cp:revision>
  <dcterms:created xsi:type="dcterms:W3CDTF">2019-12-17T06:49:00Z</dcterms:created>
  <dcterms:modified xsi:type="dcterms:W3CDTF">2019-12-17T07:23:00Z</dcterms:modified>
</cp:coreProperties>
</file>